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 1 к Техническим требованиям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jc w:val="right"/>
        <w:keepLines/>
        <w:keepNext/>
        <w:spacing w:after="120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t xml:space="preserve">ОКПД2 42.21.22.120 Выполнение работ по капитальному ремонту разводящих тепловых сетей г. Артем, Приморский край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Лот №</w:t>
      </w:r>
      <w:r>
        <w:rPr>
          <w:rFonts w:ascii="Times New Roman" w:hAnsi="Times New Roman" w:cs="Times New Roman"/>
          <w:b/>
          <w:sz w:val="28"/>
          <w:szCs w:val="24"/>
        </w:rPr>
        <w:t xml:space="preserve">11037008-РЕМ ПРОД-2026-ДГК-ПТС</w:t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Сметная документация разработана Заказчиком (приложение №3 к наст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оящим Техническим требованиям) в программном комплексе «Гранд-СМЕТА», согласно следующим ценовым показателям (критериям):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на базе ФСНБ-2022 (с Изм. 1-15) ресурсно-индексным методом с уровнем цен на 3 квартал 2025 г. на основании Сплит-формы индексов и сметных цен для ценовой зоны Приморский край.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6"/>
        </w:numPr>
        <w:ind w:left="0" w:right="0"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локальном сметном расчете учесть: 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6"/>
        </w:numPr>
        <w:ind w:left="0" w:right="0"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объем сметной прибыли в размере 30%; 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6"/>
        </w:numPr>
        <w:ind w:left="0" w:right="0"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затраты на з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ахоронение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отходов строительства (Выписка из Приказа №017 КГУП "ПЭО" от 21.01.2025г) IV класс - 3438 руб/т, V класс - 1922,52 руб/т (116,4+0,32)*3438+(6+69,742+0,48+0,24+19,3+12,1)*1922,52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;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9"/>
        </w:numPr>
        <w:ind w:left="0" w:right="0"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затраты на захоронение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отходов строительства (Выписка из Приказа №017 КГУП "ПЭО" от 21.01.2025г) IV класс - 3438 руб/т, V класс - 1922,52 руб/т (69,84+0,6)*3438+(8,3+2,25+49,046+12,24+0,48+7,98+2,28+9+3,18+2,4)*1922,52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;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10"/>
        </w:numPr>
        <w:ind w:left="0" w:right="0" w:firstLine="709"/>
        <w:jc w:val="both"/>
        <w:spacing w:line="240" w:lineRule="auto"/>
        <w:widowControl w:val="off"/>
        <w:rPr>
          <w:b w:val="0"/>
          <w:bCs w:val="0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затраты на захоронение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отходов строительства (Выписка из Приказа №017 КГУП "ПЭО" от 21.01.2025г) IV класс - 3438 руб/т, V класс - 1922,52 руб/т (10,8+0,82)*3438+(0,4+59,238+12,48+0,48+10,7+3,18+3,405+0,5+0,9+1)*1922,52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         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72"/>
        <w:numPr>
          <w:ilvl w:val="0"/>
          <w:numId w:val="6"/>
        </w:numPr>
        <w:ind w:left="0" w:right="0" w:firstLine="709"/>
        <w:jc w:val="both"/>
        <w:spacing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затраты на погрузочные работы и вывоз строительного мусора (46 км для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магистральной тепловой сети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Тепловая сеть 01-38 ТК17-ТК18 по ул. пл. Ленина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РП 3992-40-25ТС.АС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), (51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км для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магистральной тепловой сети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Тепловая сеть 02-17 ул. Ярославская - Любава, ТК3 - ТК4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РП 3990-40-25ТС.АС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)),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(47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км для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магистральной тепловой сети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Тепловая сеть №04-12 ул. Днепростроевская, ТК7 - ТК40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РП 3991-62-25ТС.АС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)),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информации о цена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 на услуги на перевозку грузов, в зависимости от вида транспорта (автомобили бортовые, автомобили-самосвалы), включенных в ФГИС ЦС и в соответствии со сметными норма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тивами, включенными в ФРСН.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872"/>
        <w:numPr>
          <w:ilvl w:val="0"/>
          <w:numId w:val="6"/>
        </w:numPr>
        <w:ind w:left="0" w:right="0" w:firstLine="709"/>
        <w:jc w:val="both"/>
        <w:spacing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вычесть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стоимость воды;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14:ligatures w14:val="none"/>
        </w:rPr>
      </w:r>
    </w:p>
    <w:p>
      <w:pPr>
        <w:pStyle w:val="872"/>
        <w:numPr>
          <w:ilvl w:val="0"/>
          <w:numId w:val="6"/>
        </w:num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в сметную стоимость включен резерв средств на непредвиденные работы и затраты, который составляет 3% сметной стоимости работ.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 стадии закрытия ак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тов выполненных работ данный резерв в процентах не оплачивается. Данн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ый резерв предназн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ачен для возмещения стоимости работ, потребность в которых может возникнуть в процессе производства работ, и подлежит оплате на основании акта на вып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олнение дополнительных работ, дополнительной сметы, составленной по аналогии с основной сметой Договора подряда.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color w:val="000000"/>
          <w:highlight w:val="white"/>
        </w:rPr>
      </w:pPr>
      <w:r>
        <w:rPr>
          <w:b w:val="0"/>
          <w:bCs w:val="0"/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Расходы за утилизацию строительного мусора принимаются на основании представленных в со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ставе исполнительной докуме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нтации отчетных документов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 и др.) в пределах учтенной в смете суммы.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Сметная документация должна быть предоставлена по элементам затрат с расшифровкой всех статей затрат на электронном носителе в формате gsf программы «ГРАНД-СМЕТА» и на бумажном носителе в формате xls.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Сметы составляются с округлением до целых рублей, сводный сметный расчет – с округлением до целых рублей, НДС – с округлением до рублей с двумя знаками после  запятой.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highlight w:val="white"/>
        </w:rPr>
      </w:r>
    </w:p>
    <w:sectPr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01"/>
    <w:link w:val="693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Title Char"/>
    <w:basedOn w:val="701"/>
    <w:link w:val="713"/>
    <w:uiPriority w:val="10"/>
    <w:rPr>
      <w:sz w:val="48"/>
      <w:szCs w:val="48"/>
    </w:rPr>
  </w:style>
  <w:style w:type="character" w:styleId="684">
    <w:name w:val="Subtitle Char"/>
    <w:basedOn w:val="701"/>
    <w:link w:val="715"/>
    <w:uiPriority w:val="11"/>
    <w:rPr>
      <w:sz w:val="24"/>
      <w:szCs w:val="24"/>
    </w:rPr>
  </w:style>
  <w:style w:type="character" w:styleId="685">
    <w:name w:val="Quote Char"/>
    <w:link w:val="717"/>
    <w:uiPriority w:val="29"/>
    <w:rPr>
      <w:i/>
    </w:rPr>
  </w:style>
  <w:style w:type="character" w:styleId="686">
    <w:name w:val="Intense Quote Char"/>
    <w:link w:val="719"/>
    <w:uiPriority w:val="30"/>
    <w:rPr>
      <w:i/>
    </w:rPr>
  </w:style>
  <w:style w:type="character" w:styleId="687">
    <w:name w:val="Header Char"/>
    <w:basedOn w:val="701"/>
    <w:link w:val="721"/>
    <w:uiPriority w:val="99"/>
  </w:style>
  <w:style w:type="character" w:styleId="688">
    <w:name w:val="Caption Char"/>
    <w:basedOn w:val="725"/>
    <w:link w:val="723"/>
    <w:uiPriority w:val="99"/>
  </w:style>
  <w:style w:type="character" w:styleId="689">
    <w:name w:val="Footnote Text Char"/>
    <w:link w:val="854"/>
    <w:uiPriority w:val="99"/>
    <w:rPr>
      <w:sz w:val="18"/>
    </w:rPr>
  </w:style>
  <w:style w:type="character" w:styleId="690">
    <w:name w:val="Endnote Text Char"/>
    <w:link w:val="857"/>
    <w:uiPriority w:val="99"/>
    <w:rPr>
      <w:sz w:val="20"/>
    </w:rPr>
  </w:style>
  <w:style w:type="paragraph" w:styleId="691" w:default="1">
    <w:name w:val="Normal"/>
    <w:qFormat/>
  </w:style>
  <w:style w:type="paragraph" w:styleId="692">
    <w:name w:val="Heading 1"/>
    <w:basedOn w:val="691"/>
    <w:next w:val="691"/>
    <w:link w:val="70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3">
    <w:name w:val="Heading 2"/>
    <w:basedOn w:val="691"/>
    <w:next w:val="691"/>
    <w:link w:val="70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4">
    <w:name w:val="Heading 3"/>
    <w:basedOn w:val="691"/>
    <w:next w:val="691"/>
    <w:link w:val="70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691"/>
    <w:next w:val="691"/>
    <w:link w:val="70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691"/>
    <w:next w:val="691"/>
    <w:link w:val="714"/>
    <w:uiPriority w:val="10"/>
    <w:qFormat/>
    <w:pPr>
      <w:contextualSpacing/>
      <w:spacing w:before="3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91"/>
    <w:next w:val="691"/>
    <w:link w:val="716"/>
    <w:uiPriority w:val="11"/>
    <w:qFormat/>
    <w:pPr>
      <w:spacing w:before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91"/>
    <w:next w:val="691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91"/>
    <w:next w:val="691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91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Верхний колонтитул Знак"/>
    <w:link w:val="721"/>
    <w:uiPriority w:val="99"/>
  </w:style>
  <w:style w:type="paragraph" w:styleId="723">
    <w:name w:val="Footer"/>
    <w:basedOn w:val="691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91"/>
    <w:next w:val="691"/>
    <w:link w:val="68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6" w:customStyle="1">
    <w:name w:val="Нижний колонтитул Знак"/>
    <w:link w:val="723"/>
    <w:uiPriority w:val="99"/>
  </w:style>
  <w:style w:type="table" w:styleId="727">
    <w:name w:val="Table Grid"/>
    <w:basedOn w:val="70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8" w:customStyle="1">
    <w:name w:val="Table Grid Light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9" w:customStyle="1">
    <w:name w:val="Plain Table 1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basedOn w:val="70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7" w:customStyle="1">
    <w:name w:val="Grid Table 4 - Accent 2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8" w:customStyle="1">
    <w:name w:val="Grid Table 4 - Accent 3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9" w:customStyle="1">
    <w:name w:val="Grid Table 4 - Accent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0" w:customStyle="1">
    <w:name w:val="Grid Table 4 - Accent 5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1" w:customStyle="1">
    <w:name w:val="Grid Table 4 - Accent 6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2" w:customStyle="1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1" w:customStyle="1">
    <w:name w:val="Grid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2" w:customStyle="1">
    <w:name w:val="Grid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3" w:customStyle="1">
    <w:name w:val="Grid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4" w:customStyle="1">
    <w:name w:val="Grid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 w:customStyle="1">
    <w:name w:val="Grid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6" w:customStyle="1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0" w:customStyle="1">
    <w:name w:val="List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1" w:customStyle="1">
    <w:name w:val="List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2" w:customStyle="1">
    <w:name w:val="List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3" w:customStyle="1">
    <w:name w:val="List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4" w:customStyle="1">
    <w:name w:val="List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5" w:customStyle="1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 &amp; 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1" w:customStyle="1">
    <w:name w:val="Bordered &amp; 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2" w:customStyle="1">
    <w:name w:val="Bordered &amp; 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3" w:customStyle="1">
    <w:name w:val="Bordered &amp; 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4" w:customStyle="1">
    <w:name w:val="Bordered &amp; 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5" w:customStyle="1">
    <w:name w:val="Bordered &amp; 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6" w:customStyle="1">
    <w:name w:val="Bordered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8" w:customStyle="1">
    <w:name w:val="Bordered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9" w:customStyle="1">
    <w:name w:val="Bordered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0" w:customStyle="1">
    <w:name w:val="Bordered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1" w:customStyle="1">
    <w:name w:val="Bordered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2" w:customStyle="1">
    <w:name w:val="Bordered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563c1" w:themeColor="hyperlink"/>
      <w:u w:val="single"/>
    </w:rPr>
  </w:style>
  <w:style w:type="paragraph" w:styleId="854">
    <w:name w:val="footnote text"/>
    <w:basedOn w:val="69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9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91"/>
    <w:next w:val="691"/>
    <w:uiPriority w:val="39"/>
    <w:unhideWhenUsed/>
    <w:pPr>
      <w:spacing w:after="57"/>
    </w:pPr>
  </w:style>
  <w:style w:type="paragraph" w:styleId="861">
    <w:name w:val="toc 2"/>
    <w:basedOn w:val="691"/>
    <w:next w:val="691"/>
    <w:uiPriority w:val="39"/>
    <w:unhideWhenUsed/>
    <w:pPr>
      <w:ind w:left="283"/>
      <w:spacing w:after="57"/>
    </w:pPr>
  </w:style>
  <w:style w:type="paragraph" w:styleId="862">
    <w:name w:val="toc 3"/>
    <w:basedOn w:val="691"/>
    <w:next w:val="691"/>
    <w:uiPriority w:val="39"/>
    <w:unhideWhenUsed/>
    <w:pPr>
      <w:ind w:left="567"/>
      <w:spacing w:after="57"/>
    </w:pPr>
  </w:style>
  <w:style w:type="paragraph" w:styleId="863">
    <w:name w:val="toc 4"/>
    <w:basedOn w:val="691"/>
    <w:next w:val="691"/>
    <w:uiPriority w:val="39"/>
    <w:unhideWhenUsed/>
    <w:pPr>
      <w:ind w:left="850"/>
      <w:spacing w:after="57"/>
    </w:pPr>
  </w:style>
  <w:style w:type="paragraph" w:styleId="864">
    <w:name w:val="toc 5"/>
    <w:basedOn w:val="691"/>
    <w:next w:val="691"/>
    <w:uiPriority w:val="39"/>
    <w:unhideWhenUsed/>
    <w:pPr>
      <w:ind w:left="1134"/>
      <w:spacing w:after="57"/>
    </w:pPr>
  </w:style>
  <w:style w:type="paragraph" w:styleId="865">
    <w:name w:val="toc 6"/>
    <w:basedOn w:val="691"/>
    <w:next w:val="691"/>
    <w:uiPriority w:val="39"/>
    <w:unhideWhenUsed/>
    <w:pPr>
      <w:ind w:left="1417"/>
      <w:spacing w:after="57"/>
    </w:pPr>
  </w:style>
  <w:style w:type="paragraph" w:styleId="866">
    <w:name w:val="toc 7"/>
    <w:basedOn w:val="691"/>
    <w:next w:val="691"/>
    <w:uiPriority w:val="39"/>
    <w:unhideWhenUsed/>
    <w:pPr>
      <w:ind w:left="1701"/>
      <w:spacing w:after="57"/>
    </w:pPr>
  </w:style>
  <w:style w:type="paragraph" w:styleId="867">
    <w:name w:val="toc 8"/>
    <w:basedOn w:val="691"/>
    <w:next w:val="691"/>
    <w:uiPriority w:val="39"/>
    <w:unhideWhenUsed/>
    <w:pPr>
      <w:ind w:left="1984"/>
      <w:spacing w:after="57"/>
    </w:pPr>
  </w:style>
  <w:style w:type="paragraph" w:styleId="868">
    <w:name w:val="toc 9"/>
    <w:basedOn w:val="691"/>
    <w:next w:val="691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91"/>
    <w:next w:val="691"/>
    <w:uiPriority w:val="99"/>
    <w:unhideWhenUsed/>
    <w:pPr>
      <w:spacing w:after="0"/>
    </w:pPr>
  </w:style>
  <w:style w:type="paragraph" w:styleId="871">
    <w:name w:val="No Spacing"/>
    <w:basedOn w:val="691"/>
    <w:uiPriority w:val="1"/>
    <w:qFormat/>
    <w:pPr>
      <w:spacing w:after="0" w:line="240" w:lineRule="auto"/>
    </w:pPr>
  </w:style>
  <w:style w:type="paragraph" w:styleId="872">
    <w:name w:val="List Paragraph"/>
    <w:basedOn w:val="691"/>
    <w:uiPriority w:val="34"/>
    <w:qFormat/>
    <w:pPr>
      <w:contextualSpacing/>
      <w:ind w:left="720"/>
    </w:pPr>
  </w:style>
  <w:style w:type="paragraph" w:styleId="873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shevchenko_ko</cp:lastModifiedBy>
  <cp:revision>25</cp:revision>
  <dcterms:created xsi:type="dcterms:W3CDTF">2023-01-24T05:53:00Z</dcterms:created>
  <dcterms:modified xsi:type="dcterms:W3CDTF">2026-01-26T01:59:44Z</dcterms:modified>
</cp:coreProperties>
</file>